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sz w:val="28"/>
          <w:szCs w:val="28"/>
          <w:u w:val="single"/>
        </w:rPr>
      </w:pPr>
      <w:r>
        <w:rPr>
          <w:b w:val="1"/>
          <w:bCs w:val="1"/>
          <w:sz w:val="28"/>
          <w:szCs w:val="28"/>
          <w:u w:val="single"/>
          <w:rtl w:val="0"/>
          <w:lang w:val="en-US"/>
        </w:rPr>
        <w:t>Ch. 20 Vocabulary List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Uncollectible Accounts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Allowance Method of Recording Losses from Uncollectible Accounts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Book Value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Book Value of Accounts Receivable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Writing off an Account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Credit Terms</w:t>
      </w:r>
    </w:p>
    <w:p>
      <w:pPr>
        <w:pStyle w:val="Body"/>
        <w:rPr>
          <w:b w:val="1"/>
          <w:bCs w:val="1"/>
        </w:rPr>
      </w:pPr>
    </w:p>
    <w:p>
      <w:pPr>
        <w:pStyle w:val="Body"/>
      </w:pPr>
      <w:r>
        <w:rPr>
          <w:b w:val="1"/>
          <w:bCs w:val="1"/>
          <w:rtl w:val="0"/>
          <w:lang w:val="en-US"/>
        </w:rPr>
        <w:t>Terms of Sale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